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rPr>
          <w:rFonts w:asciiTheme="minorHAnsi" w:hAnsiTheme="minorHAnsi"/>
          <w:sz w:val="18"/>
          <w:szCs w:val="18"/>
        </w:rPr>
        <w:t>Příloha č. 1 Smlouvy</w:t>
      </w:r>
    </w:p>
    <w:p w:rsidR="00C06299" w:rsidRDefault="00C06299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 w:rsidRPr="00C06299">
        <w:rPr>
          <w:rFonts w:asciiTheme="minorHAnsi" w:hAnsiTheme="minorHAnsi"/>
          <w:b/>
          <w:color w:val="FF5200" w:themeColor="accent2"/>
          <w:sz w:val="36"/>
          <w:szCs w:val="36"/>
        </w:rPr>
        <w:t>Specifikace plnění</w:t>
      </w:r>
    </w:p>
    <w:p w:rsidR="00803EF0" w:rsidRPr="001C67AC" w:rsidRDefault="00803EF0" w:rsidP="00803EF0">
      <w:pPr>
        <w:pStyle w:val="Zkladntextodsazen2"/>
        <w:spacing w:line="276" w:lineRule="auto"/>
        <w:jc w:val="both"/>
        <w:rPr>
          <w:rFonts w:asciiTheme="majorHAnsi" w:eastAsiaTheme="majorEastAsia" w:hAnsiTheme="majorHAnsi" w:cstheme="majorBidi"/>
          <w:b/>
          <w:iCs/>
        </w:rPr>
      </w:pPr>
      <w:r w:rsidRPr="001C67AC">
        <w:rPr>
          <w:rFonts w:asciiTheme="majorHAnsi" w:eastAsiaTheme="majorEastAsia" w:hAnsiTheme="majorHAnsi" w:cstheme="majorBidi"/>
          <w:b/>
          <w:iCs/>
        </w:rPr>
        <w:t>1.</w:t>
      </w:r>
      <w:r w:rsidRPr="001C67AC">
        <w:rPr>
          <w:rFonts w:asciiTheme="majorHAnsi" w:eastAsiaTheme="majorEastAsia" w:hAnsiTheme="majorHAnsi" w:cstheme="majorBidi"/>
          <w:b/>
          <w:iCs/>
        </w:rPr>
        <w:tab/>
      </w:r>
      <w:r w:rsidRPr="001C67AC">
        <w:rPr>
          <w:rFonts w:asciiTheme="majorHAnsi" w:hAnsiTheme="majorHAnsi" w:cs="Arial"/>
          <w:bCs/>
        </w:rPr>
        <w:t>Nový druh smlouvy SOLMAN 6001413 (5001403) – jedná se o zavedení druhu smlouvy „interní využití“. Pro potřeby rozlišení interního obsazení prostoru odlišnou organizační jednotkou od té správcovské organizační jednotky. Tento druh smlouvy je potřebný pro finanční narovnání a přeúčtování nákladů mezi organizačními jednotkami.</w:t>
      </w:r>
    </w:p>
    <w:p w:rsidR="00803EF0" w:rsidRPr="001C67AC" w:rsidRDefault="00803EF0" w:rsidP="00803EF0">
      <w:pPr>
        <w:pStyle w:val="Zkladntextodsazen2"/>
        <w:numPr>
          <w:ilvl w:val="0"/>
          <w:numId w:val="50"/>
        </w:numPr>
        <w:spacing w:line="276" w:lineRule="auto"/>
        <w:jc w:val="both"/>
        <w:rPr>
          <w:rFonts w:asciiTheme="majorHAnsi" w:hAnsiTheme="majorHAnsi" w:cs="Arial"/>
          <w:bCs/>
        </w:rPr>
      </w:pPr>
      <w:r w:rsidRPr="001C67AC">
        <w:rPr>
          <w:rFonts w:asciiTheme="majorHAnsi" w:hAnsiTheme="majorHAnsi" w:cs="Arial"/>
          <w:bCs/>
        </w:rPr>
        <w:t xml:space="preserve">NO budou použity stávající, skupiny NO mohou být také využity. </w:t>
      </w:r>
    </w:p>
    <w:p w:rsidR="00803EF0" w:rsidRPr="001C67AC" w:rsidRDefault="00803EF0" w:rsidP="00803EF0">
      <w:pPr>
        <w:pStyle w:val="Zkladntextodsazen2"/>
        <w:numPr>
          <w:ilvl w:val="0"/>
          <w:numId w:val="50"/>
        </w:numPr>
        <w:spacing w:line="276" w:lineRule="auto"/>
        <w:jc w:val="both"/>
        <w:rPr>
          <w:rFonts w:asciiTheme="majorHAnsi" w:hAnsiTheme="majorHAnsi" w:cs="Arial"/>
          <w:bCs/>
        </w:rPr>
      </w:pPr>
      <w:r w:rsidRPr="001C67AC">
        <w:rPr>
          <w:rFonts w:asciiTheme="majorHAnsi" w:hAnsiTheme="majorHAnsi" w:cs="Arial"/>
          <w:bCs/>
        </w:rPr>
        <w:t xml:space="preserve">Smlouvy budou i nad pozemky, v ÚO ZDC i MOZ. </w:t>
      </w:r>
    </w:p>
    <w:p w:rsidR="00803EF0" w:rsidRPr="001C67AC" w:rsidRDefault="00803EF0" w:rsidP="00803EF0">
      <w:pPr>
        <w:pStyle w:val="Zkladntextodsazen2"/>
        <w:numPr>
          <w:ilvl w:val="0"/>
          <w:numId w:val="50"/>
        </w:numPr>
        <w:spacing w:line="276" w:lineRule="auto"/>
        <w:jc w:val="both"/>
        <w:rPr>
          <w:rFonts w:asciiTheme="majorHAnsi" w:hAnsiTheme="majorHAnsi" w:cs="Arial"/>
          <w:bCs/>
        </w:rPr>
      </w:pPr>
      <w:r w:rsidRPr="001C67AC">
        <w:rPr>
          <w:rFonts w:asciiTheme="majorHAnsi" w:hAnsiTheme="majorHAnsi" w:cs="Arial"/>
          <w:bCs/>
        </w:rPr>
        <w:t xml:space="preserve">Podmínky, pohyby a účty budou doplněny později. </w:t>
      </w:r>
    </w:p>
    <w:p w:rsidR="00803EF0" w:rsidRPr="001C67AC" w:rsidRDefault="00803EF0" w:rsidP="00803EF0">
      <w:pPr>
        <w:pStyle w:val="Zkladntextodsazen2"/>
        <w:numPr>
          <w:ilvl w:val="0"/>
          <w:numId w:val="50"/>
        </w:numPr>
        <w:spacing w:line="276" w:lineRule="auto"/>
        <w:jc w:val="both"/>
        <w:rPr>
          <w:rFonts w:asciiTheme="majorHAnsi" w:hAnsiTheme="majorHAnsi" w:cs="Arial"/>
          <w:bCs/>
        </w:rPr>
      </w:pPr>
      <w:r w:rsidRPr="001C67AC">
        <w:rPr>
          <w:rFonts w:asciiTheme="majorHAnsi" w:hAnsiTheme="majorHAnsi" w:cs="Arial"/>
          <w:bCs/>
        </w:rPr>
        <w:t>Účast na zúčtování musí být nastavena dle technických možností používaných pro interní zúčtování přímých nákladů.</w:t>
      </w:r>
    </w:p>
    <w:p w:rsidR="00803EF0" w:rsidRPr="001C67AC" w:rsidRDefault="00803EF0" w:rsidP="00803EF0">
      <w:pPr>
        <w:pStyle w:val="Zkladntextodsazen2"/>
        <w:numPr>
          <w:ilvl w:val="0"/>
          <w:numId w:val="50"/>
        </w:numPr>
        <w:spacing w:line="276" w:lineRule="auto"/>
        <w:jc w:val="both"/>
        <w:rPr>
          <w:rFonts w:asciiTheme="majorHAnsi" w:hAnsiTheme="majorHAnsi" w:cs="Arial"/>
          <w:bCs/>
        </w:rPr>
      </w:pPr>
      <w:r w:rsidRPr="001C67AC">
        <w:rPr>
          <w:rFonts w:asciiTheme="majorHAnsi" w:hAnsiTheme="majorHAnsi" w:cs="Arial"/>
          <w:bCs/>
        </w:rPr>
        <w:t>Pochopitelně bude tento druh smlouvy zobrazen ve všech dotčených reportech, kde se již dnes zobrazují stávající smlouvy, takže by neměly vzniknout žádné vícepráce.</w:t>
      </w:r>
    </w:p>
    <w:p w:rsidR="00803EF0" w:rsidRPr="001C67AC" w:rsidRDefault="00803EF0" w:rsidP="00803EF0">
      <w:pPr>
        <w:pStyle w:val="Zkladntextodsazen2"/>
        <w:spacing w:line="276" w:lineRule="auto"/>
        <w:jc w:val="both"/>
        <w:rPr>
          <w:rFonts w:asciiTheme="majorHAnsi" w:eastAsiaTheme="majorEastAsia" w:hAnsiTheme="majorHAnsi" w:cstheme="majorBidi"/>
          <w:b/>
          <w:iCs/>
        </w:rPr>
      </w:pPr>
    </w:p>
    <w:p w:rsidR="00803EF0" w:rsidRPr="001C67AC" w:rsidRDefault="00803EF0" w:rsidP="00803EF0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  <w:r w:rsidRPr="001C67AC">
        <w:rPr>
          <w:rFonts w:asciiTheme="majorHAnsi" w:eastAsiaTheme="majorEastAsia" w:hAnsiTheme="majorHAnsi" w:cstheme="majorBidi"/>
          <w:b/>
          <w:iCs/>
        </w:rPr>
        <w:t>2.</w:t>
      </w:r>
      <w:r w:rsidRPr="001C67AC">
        <w:rPr>
          <w:rFonts w:asciiTheme="majorHAnsi" w:eastAsiaTheme="majorEastAsia" w:hAnsiTheme="majorHAnsi" w:cstheme="majorBidi"/>
          <w:b/>
          <w:iCs/>
        </w:rPr>
        <w:tab/>
      </w:r>
      <w:r w:rsidRPr="001C67AC">
        <w:rPr>
          <w:rFonts w:asciiTheme="majorHAnsi" w:hAnsiTheme="majorHAnsi" w:cs="Arial"/>
          <w:bCs/>
        </w:rPr>
        <w:t>Požadavek na nastavení správné analytiky pro přeúčtování výnosů z nájemních smluv na nájemní objekt. Toto přeúčtování bude jako podklad pro vznik výsledovky na nájemním objektu.</w:t>
      </w:r>
    </w:p>
    <w:p w:rsidR="00803EF0" w:rsidRPr="001C67AC" w:rsidRDefault="00803EF0" w:rsidP="00803EF0">
      <w:pPr>
        <w:pStyle w:val="Zkladntextodsazen2"/>
        <w:numPr>
          <w:ilvl w:val="0"/>
          <w:numId w:val="50"/>
        </w:numPr>
        <w:spacing w:line="276" w:lineRule="auto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>N</w:t>
      </w:r>
      <w:r w:rsidRPr="001C67AC">
        <w:rPr>
          <w:rFonts w:asciiTheme="majorHAnsi" w:hAnsiTheme="majorHAnsi" w:cs="Arial"/>
          <w:bCs/>
        </w:rPr>
        <w:t>astavení shodného analytického účtu, z kterého se bude přeúčtovávat. Jsou to tyto: 6023200, 6023220, 6023211, 6023400</w:t>
      </w:r>
    </w:p>
    <w:p w:rsidR="00803EF0" w:rsidRPr="001C67AC" w:rsidRDefault="00803EF0" w:rsidP="00803EF0">
      <w:pPr>
        <w:pStyle w:val="Zkladntextodsazen2"/>
        <w:spacing w:line="276" w:lineRule="auto"/>
        <w:jc w:val="both"/>
        <w:rPr>
          <w:rFonts w:asciiTheme="majorHAnsi" w:eastAsiaTheme="majorEastAsia" w:hAnsiTheme="majorHAnsi" w:cstheme="majorBidi"/>
          <w:b/>
          <w:iCs/>
        </w:rPr>
      </w:pPr>
    </w:p>
    <w:p w:rsidR="00803EF0" w:rsidRPr="00167F19" w:rsidRDefault="00803EF0" w:rsidP="00803EF0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  <w:r w:rsidRPr="001C67AC">
        <w:rPr>
          <w:rFonts w:asciiTheme="majorHAnsi" w:eastAsiaTheme="majorEastAsia" w:hAnsiTheme="majorHAnsi" w:cstheme="majorBidi"/>
          <w:b/>
          <w:iCs/>
        </w:rPr>
        <w:t>3.</w:t>
      </w:r>
      <w:r w:rsidRPr="001C67AC">
        <w:rPr>
          <w:rFonts w:asciiTheme="majorHAnsi" w:eastAsiaTheme="majorEastAsia" w:hAnsiTheme="majorHAnsi" w:cstheme="majorBidi"/>
          <w:b/>
          <w:iCs/>
        </w:rPr>
        <w:tab/>
      </w:r>
      <w:r w:rsidRPr="001C67AC">
        <w:rPr>
          <w:rFonts w:asciiTheme="majorHAnsi" w:hAnsiTheme="majorHAnsi" w:cs="Arial"/>
          <w:bCs/>
        </w:rPr>
        <w:t>Vytvoření výkazu zisků a ztrát nad nájemními objekty – vytvoření reportu nad nájemními objekty, který bude zaměřen na výsledek hospodaření na nájemní objekt s možností sumarizace na budovy a pozemky.</w:t>
      </w:r>
    </w:p>
    <w:p w:rsidR="00803EF0" w:rsidRPr="00167F19" w:rsidRDefault="00803EF0" w:rsidP="00803EF0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  <w:r w:rsidRPr="00167F19">
        <w:rPr>
          <w:rFonts w:asciiTheme="majorHAnsi" w:hAnsiTheme="majorHAnsi" w:cs="Arial"/>
          <w:bCs/>
        </w:rPr>
        <w:t> </w:t>
      </w:r>
    </w:p>
    <w:p w:rsidR="00803EF0" w:rsidRPr="00803EF0" w:rsidRDefault="00803EF0" w:rsidP="00C06299">
      <w:pPr>
        <w:rPr>
          <w:rFonts w:asciiTheme="minorHAnsi" w:hAnsiTheme="minorHAnsi"/>
          <w:color w:val="FF5200" w:themeColor="accent2"/>
          <w:sz w:val="18"/>
          <w:szCs w:val="18"/>
        </w:rPr>
      </w:pPr>
      <w:bookmarkStart w:id="14" w:name="_GoBack"/>
      <w:bookmarkEnd w:id="14"/>
    </w:p>
    <w:p w:rsidR="009F392E" w:rsidRPr="007139D4" w:rsidRDefault="009F392E" w:rsidP="00DB66C5">
      <w:pPr>
        <w:pStyle w:val="Odstavecseseznamem"/>
        <w:rPr>
          <w:sz w:val="18"/>
          <w:szCs w:val="18"/>
        </w:rPr>
      </w:pPr>
      <w:bookmarkStart w:id="15" w:name="_52_Co_externista"/>
      <w:bookmarkStart w:id="16" w:name="_53_Pro_DPP"/>
      <w:bookmarkStart w:id="17" w:name="_54eNeschopena_–_nový"/>
      <w:bookmarkStart w:id="18" w:name="_55_Předávat_do"/>
      <w:bookmarkStart w:id="19" w:name="_56_Externisté_–"/>
      <w:bookmarkStart w:id="20" w:name="_70_Sladění_času"/>
      <w:bookmarkStart w:id="21" w:name="_71_Číslo_KOP"/>
      <w:bookmarkStart w:id="22" w:name="_72_Funkční_modul"/>
      <w:bookmarkStart w:id="23" w:name="_73_UPN_do"/>
      <w:bookmarkStart w:id="24" w:name="_77_UPN_do"/>
      <w:bookmarkStart w:id="25" w:name="_74_Portál_SŽ"/>
      <w:bookmarkStart w:id="26" w:name="_81_Nový_ccc"/>
      <w:bookmarkStart w:id="27" w:name="_97_PROFESE_–"/>
      <w:bookmarkStart w:id="28" w:name="_99_IT_9001"/>
      <w:bookmarkStart w:id="29" w:name="_104_xx"/>
      <w:bookmarkStart w:id="30" w:name="_105_xx"/>
      <w:bookmarkStart w:id="31" w:name="_110_Z_HR_IT9001_MISTNOST_GETLIST_-"/>
      <w:bookmarkStart w:id="32" w:name="_111_Evidence_RZD"/>
      <w:bookmarkStart w:id="33" w:name="_112_Vstupní_obrazovka"/>
      <w:bookmarkStart w:id="34" w:name="_113_Úprava_synchronizace"/>
      <w:bookmarkStart w:id="35" w:name="_115_ZHR_STKR_TASK_–"/>
      <w:bookmarkStart w:id="36" w:name="_116_Externista_–"/>
      <w:bookmarkStart w:id="37" w:name="_117_xx"/>
      <w:bookmarkStart w:id="38" w:name="_118_Revize_transakce"/>
      <w:bookmarkStart w:id="39" w:name="_127_STKR_–"/>
      <w:bookmarkStart w:id="40" w:name="_128_Úpravy_COVID"/>
      <w:bookmarkStart w:id="41" w:name="_127_Notifikace_vedoucím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sectPr w:rsidR="009F392E" w:rsidRPr="007139D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AE" w:rsidRDefault="00C242AE" w:rsidP="00962258">
      <w:pPr>
        <w:spacing w:after="0" w:line="240" w:lineRule="auto"/>
      </w:pPr>
      <w:r>
        <w:separator/>
      </w:r>
    </w:p>
  </w:endnote>
  <w:endnote w:type="continuationSeparator" w:id="0">
    <w:p w:rsidR="00C242AE" w:rsidRDefault="00C242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94CA69" wp14:editId="6225FD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0BEBF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68A6600" wp14:editId="6677FB1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6C03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3E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3E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763EE8" wp14:editId="3C584C0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E527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26AA601" wp14:editId="706F43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7E8B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AE" w:rsidRDefault="00C242AE" w:rsidP="00962258">
      <w:pPr>
        <w:spacing w:after="0" w:line="240" w:lineRule="auto"/>
      </w:pPr>
      <w:r>
        <w:separator/>
      </w:r>
    </w:p>
  </w:footnote>
  <w:footnote w:type="continuationSeparator" w:id="0">
    <w:p w:rsidR="00C242AE" w:rsidRDefault="00C242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3E8B38B" wp14:editId="313C9D9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0B62BC"/>
    <w:multiLevelType w:val="hybridMultilevel"/>
    <w:tmpl w:val="E4DC5C9E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7D06E65"/>
    <w:multiLevelType w:val="hybridMultilevel"/>
    <w:tmpl w:val="CC0C5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35D7C"/>
    <w:multiLevelType w:val="hybridMultilevel"/>
    <w:tmpl w:val="6B842534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80BF0"/>
    <w:multiLevelType w:val="hybridMultilevel"/>
    <w:tmpl w:val="3474A5B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B8F649B"/>
    <w:multiLevelType w:val="hybridMultilevel"/>
    <w:tmpl w:val="0388F5C2"/>
    <w:lvl w:ilvl="0" w:tplc="DCAAE1FE">
      <w:start w:val="1"/>
      <w:numFmt w:val="decimal"/>
      <w:lvlText w:val="%1."/>
      <w:lvlJc w:val="left"/>
      <w:pPr>
        <w:ind w:left="720" w:hanging="360"/>
      </w:pPr>
      <w:rPr>
        <w:color w:val="FF5200" w:themeColor="accent2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F16A6"/>
    <w:multiLevelType w:val="hybridMultilevel"/>
    <w:tmpl w:val="29C009F2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71E42"/>
    <w:multiLevelType w:val="hybridMultilevel"/>
    <w:tmpl w:val="041888F0"/>
    <w:lvl w:ilvl="0" w:tplc="CD1C4D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32F11604"/>
    <w:multiLevelType w:val="hybridMultilevel"/>
    <w:tmpl w:val="86C6D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B4C44"/>
    <w:multiLevelType w:val="multilevel"/>
    <w:tmpl w:val="CABE99FC"/>
    <w:numStyleLink w:val="ListNumbermultilevel"/>
  </w:abstractNum>
  <w:abstractNum w:abstractNumId="14" w15:restartNumberingAfterBreak="0">
    <w:nsid w:val="34EE549F"/>
    <w:multiLevelType w:val="multilevel"/>
    <w:tmpl w:val="CABE99FC"/>
    <w:numStyleLink w:val="ListNumbermultilevel"/>
  </w:abstractNum>
  <w:abstractNum w:abstractNumId="15" w15:restartNumberingAfterBreak="0">
    <w:nsid w:val="36F16E68"/>
    <w:multiLevelType w:val="hybridMultilevel"/>
    <w:tmpl w:val="BBD46A2A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A339E"/>
    <w:multiLevelType w:val="hybridMultilevel"/>
    <w:tmpl w:val="426C9DA2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5B3851"/>
    <w:multiLevelType w:val="hybridMultilevel"/>
    <w:tmpl w:val="83D86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924010"/>
    <w:multiLevelType w:val="hybridMultilevel"/>
    <w:tmpl w:val="B486FA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AE6751"/>
    <w:multiLevelType w:val="hybridMultilevel"/>
    <w:tmpl w:val="A7608976"/>
    <w:lvl w:ilvl="0" w:tplc="04050001">
      <w:start w:val="1"/>
      <w:numFmt w:val="bullet"/>
      <w:lvlText w:val=""/>
      <w:lvlJc w:val="left"/>
      <w:pPr>
        <w:ind w:left="1123" w:hanging="42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0" w15:restartNumberingAfterBreak="0">
    <w:nsid w:val="66DC5D59"/>
    <w:multiLevelType w:val="hybridMultilevel"/>
    <w:tmpl w:val="AF0CFA9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AAF0A8C"/>
    <w:multiLevelType w:val="multilevel"/>
    <w:tmpl w:val="0D34D660"/>
    <w:numStyleLink w:val="ListBulletmultilevel"/>
  </w:abstractNum>
  <w:abstractNum w:abstractNumId="22" w15:restartNumberingAfterBreak="0">
    <w:nsid w:val="6B381B68"/>
    <w:multiLevelType w:val="hybridMultilevel"/>
    <w:tmpl w:val="329CFBF4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3665AA"/>
    <w:multiLevelType w:val="hybridMultilevel"/>
    <w:tmpl w:val="78ACD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BB5150C"/>
    <w:multiLevelType w:val="hybridMultilevel"/>
    <w:tmpl w:val="2FE4A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8"/>
  </w:num>
  <w:num w:numId="6">
    <w:abstractNumId w:val="11"/>
  </w:num>
  <w:num w:numId="7">
    <w:abstractNumId w:val="0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4"/>
  </w:num>
  <w:num w:numId="17">
    <w:abstractNumId w:val="6"/>
  </w:num>
  <w:num w:numId="18">
    <w:abstractNumId w:val="24"/>
  </w:num>
  <w:num w:numId="19">
    <w:abstractNumId w:val="24"/>
  </w:num>
  <w:num w:numId="20">
    <w:abstractNumId w:val="24"/>
  </w:num>
  <w:num w:numId="21">
    <w:abstractNumId w:val="24"/>
  </w:num>
  <w:num w:numId="22">
    <w:abstractNumId w:val="11"/>
  </w:num>
  <w:num w:numId="23">
    <w:abstractNumId w:val="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4"/>
  </w:num>
  <w:num w:numId="29">
    <w:abstractNumId w:val="6"/>
  </w:num>
  <w:num w:numId="30">
    <w:abstractNumId w:val="24"/>
  </w:num>
  <w:num w:numId="31">
    <w:abstractNumId w:val="24"/>
  </w:num>
  <w:num w:numId="32">
    <w:abstractNumId w:val="24"/>
  </w:num>
  <w:num w:numId="33">
    <w:abstractNumId w:val="24"/>
  </w:num>
  <w:num w:numId="34">
    <w:abstractNumId w:val="23"/>
  </w:num>
  <w:num w:numId="35">
    <w:abstractNumId w:val="16"/>
  </w:num>
  <w:num w:numId="36">
    <w:abstractNumId w:val="22"/>
  </w:num>
  <w:num w:numId="37">
    <w:abstractNumId w:val="15"/>
  </w:num>
  <w:num w:numId="38">
    <w:abstractNumId w:val="9"/>
  </w:num>
  <w:num w:numId="39">
    <w:abstractNumId w:val="1"/>
  </w:num>
  <w:num w:numId="40">
    <w:abstractNumId w:val="10"/>
  </w:num>
  <w:num w:numId="41">
    <w:abstractNumId w:val="18"/>
  </w:num>
  <w:num w:numId="42">
    <w:abstractNumId w:val="7"/>
  </w:num>
  <w:num w:numId="43">
    <w:abstractNumId w:val="12"/>
  </w:num>
  <w:num w:numId="44">
    <w:abstractNumId w:val="17"/>
  </w:num>
  <w:num w:numId="45">
    <w:abstractNumId w:val="20"/>
  </w:num>
  <w:num w:numId="46">
    <w:abstractNumId w:val="3"/>
  </w:num>
  <w:num w:numId="47">
    <w:abstractNumId w:val="5"/>
  </w:num>
  <w:num w:numId="48">
    <w:abstractNumId w:val="25"/>
  </w:num>
  <w:num w:numId="49">
    <w:abstractNumId w:val="4"/>
  </w:num>
  <w:num w:numId="50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01"/>
    <w:rsid w:val="00072C1E"/>
    <w:rsid w:val="000C5606"/>
    <w:rsid w:val="000E23A7"/>
    <w:rsid w:val="000F3F8F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71A72"/>
    <w:rsid w:val="003956C6"/>
    <w:rsid w:val="00434E7F"/>
    <w:rsid w:val="00441430"/>
    <w:rsid w:val="00450F07"/>
    <w:rsid w:val="00453CD3"/>
    <w:rsid w:val="00460660"/>
    <w:rsid w:val="00486107"/>
    <w:rsid w:val="00491827"/>
    <w:rsid w:val="004B348C"/>
    <w:rsid w:val="004C2ABB"/>
    <w:rsid w:val="004C4399"/>
    <w:rsid w:val="004C5D55"/>
    <w:rsid w:val="004C787C"/>
    <w:rsid w:val="004E143C"/>
    <w:rsid w:val="004E3A53"/>
    <w:rsid w:val="004F20BC"/>
    <w:rsid w:val="004F4B9B"/>
    <w:rsid w:val="004F69EA"/>
    <w:rsid w:val="0050397F"/>
    <w:rsid w:val="00511AB9"/>
    <w:rsid w:val="00520C8B"/>
    <w:rsid w:val="00523EA7"/>
    <w:rsid w:val="00553375"/>
    <w:rsid w:val="00557C28"/>
    <w:rsid w:val="005736B7"/>
    <w:rsid w:val="00575E5A"/>
    <w:rsid w:val="005E5337"/>
    <w:rsid w:val="005F1404"/>
    <w:rsid w:val="0061068E"/>
    <w:rsid w:val="006565DB"/>
    <w:rsid w:val="00660AD3"/>
    <w:rsid w:val="00676C01"/>
    <w:rsid w:val="00677B7F"/>
    <w:rsid w:val="006A5570"/>
    <w:rsid w:val="006A689C"/>
    <w:rsid w:val="006B3D79"/>
    <w:rsid w:val="006D7AFE"/>
    <w:rsid w:val="006E0578"/>
    <w:rsid w:val="006E314D"/>
    <w:rsid w:val="00710723"/>
    <w:rsid w:val="007139D4"/>
    <w:rsid w:val="00723ED1"/>
    <w:rsid w:val="00743525"/>
    <w:rsid w:val="0076286B"/>
    <w:rsid w:val="00766846"/>
    <w:rsid w:val="00773FE8"/>
    <w:rsid w:val="0077673A"/>
    <w:rsid w:val="00776B86"/>
    <w:rsid w:val="007846E1"/>
    <w:rsid w:val="007B570C"/>
    <w:rsid w:val="007C589B"/>
    <w:rsid w:val="007E4A6E"/>
    <w:rsid w:val="007F56A7"/>
    <w:rsid w:val="00803EF0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740"/>
    <w:rsid w:val="00992D9C"/>
    <w:rsid w:val="00996CB8"/>
    <w:rsid w:val="009B14A9"/>
    <w:rsid w:val="009B2E97"/>
    <w:rsid w:val="009D362A"/>
    <w:rsid w:val="009E07F4"/>
    <w:rsid w:val="009F392E"/>
    <w:rsid w:val="00A16E19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242AE"/>
    <w:rsid w:val="00C44F6A"/>
    <w:rsid w:val="00C47AE3"/>
    <w:rsid w:val="00CD1FC4"/>
    <w:rsid w:val="00D21061"/>
    <w:rsid w:val="00D22D30"/>
    <w:rsid w:val="00D4108E"/>
    <w:rsid w:val="00D6163D"/>
    <w:rsid w:val="00D73D46"/>
    <w:rsid w:val="00D831A3"/>
    <w:rsid w:val="00D871EE"/>
    <w:rsid w:val="00DB66C5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76DA"/>
    <w:rsid w:val="00F30B4F"/>
    <w:rsid w:val="00F310F8"/>
    <w:rsid w:val="00F35939"/>
    <w:rsid w:val="00F4036B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A57B39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803EF0"/>
    <w:pPr>
      <w:spacing w:after="120" w:line="480" w:lineRule="auto"/>
      <w:ind w:left="283"/>
    </w:pPr>
    <w:rPr>
      <w:rFonts w:asciiTheme="minorHAnsi" w:hAnsiTheme="minorHAnsi"/>
      <w:sz w:val="18"/>
      <w:szCs w:val="18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803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178D17-70A9-47F2-B646-294B28BFD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1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2021-09-29T08:21:00Z</dcterms:created>
  <dcterms:modified xsi:type="dcterms:W3CDTF">2022-01-18T11:04:00Z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